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366"/>
        <w:gridCol w:w="2595"/>
      </w:tblGrid>
      <w:tr w:rsidR="006A25CD" w:rsidRPr="001A5529" w14:paraId="2BE207BB" w14:textId="77777777" w:rsidTr="00F230A6">
        <w:trPr>
          <w:trHeight w:val="332"/>
        </w:trPr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F6DB" w14:textId="7EC81339" w:rsidR="003A1552" w:rsidRPr="005311EF" w:rsidRDefault="003A1552" w:rsidP="00F6018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</w:rPr>
              <w:t xml:space="preserve">      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ZLECENIE BADANIA</w:t>
            </w:r>
            <w:r w:rsidR="003958B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3958B1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4</w:t>
            </w:r>
            <w:r w:rsidR="0003624C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 xml:space="preserve">, </w:t>
            </w:r>
            <w:r w:rsidR="00F6018B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6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nr: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...</w:t>
            </w:r>
            <w:r w:rsidR="00E506A2">
              <w:rPr>
                <w:rFonts w:asciiTheme="minorHAnsi" w:hAnsiTheme="minorHAnsi" w:cs="Calibri"/>
                <w:b/>
                <w:sz w:val="20"/>
                <w:szCs w:val="20"/>
              </w:rPr>
              <w:t>.....</w:t>
            </w:r>
            <w:r w:rsidR="00875849">
              <w:rPr>
                <w:rFonts w:asciiTheme="minorHAnsi" w:hAnsiTheme="minorHAnsi" w:cs="Calibri"/>
                <w:b/>
                <w:sz w:val="20"/>
                <w:szCs w:val="20"/>
              </w:rPr>
              <w:t>............../H/2021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 w:rsidR="00356787">
              <w:rPr>
                <w:rFonts w:asciiTheme="minorHAnsi" w:hAnsiTheme="minorHAnsi" w:cs="Calibri"/>
                <w:b/>
                <w:sz w:val="20"/>
                <w:szCs w:val="20"/>
              </w:rPr>
              <w:t>ACH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 w:rsidR="005311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506A2">
              <w:rPr>
                <w:rFonts w:asciiTheme="minorHAnsi" w:hAnsiTheme="minorHAnsi" w:cs="Calibri"/>
                <w:b/>
                <w:sz w:val="20"/>
                <w:szCs w:val="20"/>
              </w:rPr>
              <w:t>...............</w:t>
            </w:r>
            <w:r w:rsidR="005311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(</w:t>
            </w:r>
            <w:r w:rsidR="00346D42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kolejny numer próby</w:t>
            </w:r>
            <w:r w:rsidR="005311EF" w:rsidRP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29D7" w14:textId="412A4012" w:rsidR="006A25CD" w:rsidRPr="001A5529" w:rsidRDefault="006A25CD" w:rsidP="00DA50DE">
            <w:pPr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1A5529">
              <w:rPr>
                <w:rFonts w:asciiTheme="minorHAnsi" w:hAnsiTheme="minorHAnsi" w:cs="Calibri"/>
                <w:b/>
                <w:sz w:val="17"/>
                <w:szCs w:val="17"/>
              </w:rPr>
              <w:t>Data</w:t>
            </w:r>
            <w:r w:rsidR="00DA50DE">
              <w:rPr>
                <w:rFonts w:asciiTheme="minorHAnsi" w:hAnsiTheme="minorHAnsi" w:cs="Calibri"/>
                <w:b/>
                <w:sz w:val="17"/>
                <w:szCs w:val="17"/>
              </w:rPr>
              <w:t xml:space="preserve"> </w:t>
            </w:r>
            <w:r w:rsidR="00DA50DE" w:rsidRPr="00DA50DE">
              <w:rPr>
                <w:rFonts w:asciiTheme="minorHAnsi" w:hAnsiTheme="minorHAnsi" w:cs="Calibri"/>
                <w:sz w:val="17"/>
                <w:szCs w:val="17"/>
              </w:rPr>
              <w:t>.............</w:t>
            </w:r>
            <w:r w:rsidR="00DA50DE">
              <w:rPr>
                <w:rFonts w:asciiTheme="minorHAnsi" w:hAnsiTheme="minorHAnsi" w:cs="Calibri"/>
                <w:sz w:val="17"/>
                <w:szCs w:val="17"/>
              </w:rPr>
              <w:t>.............</w:t>
            </w:r>
            <w:r w:rsidR="00DA50DE" w:rsidRPr="00DA50DE">
              <w:rPr>
                <w:rFonts w:asciiTheme="minorHAnsi" w:hAnsiTheme="minorHAnsi" w:cs="Calibri"/>
                <w:sz w:val="17"/>
                <w:szCs w:val="17"/>
              </w:rPr>
              <w:t>.....</w:t>
            </w:r>
          </w:p>
        </w:tc>
      </w:tr>
      <w:tr w:rsidR="00D92CEB" w:rsidRPr="001A5529" w14:paraId="13BDA244" w14:textId="77777777" w:rsidTr="00F230A6">
        <w:trPr>
          <w:trHeight w:val="332"/>
        </w:trPr>
        <w:tc>
          <w:tcPr>
            <w:tcW w:w="1034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  <w:vAlign w:val="center"/>
          </w:tcPr>
          <w:p w14:paraId="194F56B2" w14:textId="77777777" w:rsidR="00D92CEB" w:rsidRPr="003A1552" w:rsidRDefault="00D92CEB" w:rsidP="008B161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PLAN BADANIA i WYCENA (wypełnia Zleceniobiorca)</w:t>
            </w:r>
          </w:p>
        </w:tc>
      </w:tr>
      <w:tr w:rsidR="00D92CEB" w:rsidRPr="001A5529" w14:paraId="127A2C31" w14:textId="77777777" w:rsidTr="00DA50DE">
        <w:trPr>
          <w:trHeight w:val="459"/>
        </w:trPr>
        <w:tc>
          <w:tcPr>
            <w:tcW w:w="2694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6B5A2" w14:textId="5C966AB7" w:rsidR="00D92CEB" w:rsidRPr="00AF0541" w:rsidRDefault="00D92CEB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Cel badania</w:t>
            </w:r>
            <w:r w:rsidR="00036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624C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  <w:r w:rsidR="00F6018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7654" w:type="dxa"/>
            <w:gridSpan w:val="3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0B20" w14:textId="77777777" w:rsidR="00356787" w:rsidRPr="0003624C" w:rsidRDefault="00356787" w:rsidP="0003624C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  <w:p w14:paraId="2BD12B62" w14:textId="2D99C927" w:rsidR="00AD7FB7" w:rsidRPr="00DA50DE" w:rsidRDefault="00356787" w:rsidP="00DA50DE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="Calibri"/>
                <w:i/>
              </w:rPr>
            </w:pPr>
            <w:r w:rsidRPr="00875849">
              <w:rPr>
                <w:rFonts w:asciiTheme="minorHAnsi" w:hAnsiTheme="minorHAnsi" w:cs="Calibri"/>
                <w:i/>
              </w:rPr>
              <w:t>Sprawdzenie parametrów</w:t>
            </w:r>
            <w:r w:rsidR="00346D42" w:rsidRPr="00875849">
              <w:rPr>
                <w:rFonts w:asciiTheme="minorHAnsi" w:hAnsiTheme="minorHAnsi" w:cs="Calibri"/>
                <w:i/>
              </w:rPr>
              <w:t xml:space="preserve"> </w:t>
            </w:r>
            <w:r w:rsidRPr="00875849">
              <w:rPr>
                <w:rFonts w:asciiTheme="minorHAnsi" w:hAnsiTheme="minorHAnsi" w:cs="Calibri"/>
                <w:i/>
              </w:rPr>
              <w:t>fizykochemicznych</w:t>
            </w:r>
            <w:r w:rsidR="00346D42" w:rsidRPr="00875849">
              <w:rPr>
                <w:rFonts w:asciiTheme="minorHAnsi" w:hAnsiTheme="minorHAnsi" w:cs="Calibri"/>
                <w:i/>
              </w:rPr>
              <w:t xml:space="preserve"> </w:t>
            </w:r>
            <w:r w:rsidR="00AD7FB7" w:rsidRPr="00875849">
              <w:rPr>
                <w:rFonts w:asciiTheme="minorHAnsi" w:hAnsiTheme="minorHAnsi" w:cs="Calibri"/>
                <w:i/>
              </w:rPr>
              <w:t>wody przeznaczonej do spożycia przez ludzi</w:t>
            </w:r>
            <w:r w:rsidR="00346D42" w:rsidRPr="00875849">
              <w:rPr>
                <w:rFonts w:asciiTheme="minorHAnsi" w:hAnsiTheme="minorHAnsi" w:cs="Calibri"/>
                <w:i/>
              </w:rPr>
              <w:t xml:space="preserve">: </w:t>
            </w:r>
            <w:r w:rsidR="00DA50DE">
              <w:rPr>
                <w:rFonts w:asciiTheme="minorHAnsi" w:hAnsiTheme="minorHAnsi" w:cs="Calibri"/>
                <w:i/>
              </w:rPr>
              <w:t>b</w:t>
            </w:r>
            <w:r w:rsidR="00AD7FB7" w:rsidRPr="00DA50DE">
              <w:rPr>
                <w:rFonts w:asciiTheme="minorHAnsi" w:hAnsiTheme="minorHAnsi" w:cs="Calibri"/>
                <w:i/>
              </w:rPr>
              <w:t>arwa, pH, przewodność, m</w:t>
            </w:r>
            <w:r w:rsidR="00875849" w:rsidRPr="00DA50DE">
              <w:rPr>
                <w:rFonts w:asciiTheme="minorHAnsi" w:hAnsiTheme="minorHAnsi" w:cs="Calibri"/>
                <w:i/>
              </w:rPr>
              <w:t>ę</w:t>
            </w:r>
            <w:r w:rsidR="00AD7FB7" w:rsidRPr="00DA50DE">
              <w:rPr>
                <w:rFonts w:asciiTheme="minorHAnsi" w:hAnsiTheme="minorHAnsi" w:cs="Calibri"/>
                <w:i/>
              </w:rPr>
              <w:t>tność</w:t>
            </w:r>
          </w:p>
        </w:tc>
      </w:tr>
      <w:tr w:rsidR="00C914A6" w:rsidRPr="001A5529" w14:paraId="703613FF" w14:textId="77777777" w:rsidTr="00C914A6">
        <w:trPr>
          <w:trHeight w:val="127"/>
        </w:trPr>
        <w:tc>
          <w:tcPr>
            <w:tcW w:w="2694" w:type="dxa"/>
            <w:vMerge w:val="restart"/>
            <w:tcBorders>
              <w:top w:val="single" w:sz="6" w:space="0" w:color="548DD4" w:themeColor="text2" w:themeTint="99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52B0" w14:textId="09E58217" w:rsidR="00C914A6" w:rsidRPr="00AF0541" w:rsidRDefault="00C914A6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Zakres badań pobierania próbek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168A" w14:textId="1188D5CF" w:rsidR="00C914A6" w:rsidRPr="00C914A6" w:rsidRDefault="00C914A6" w:rsidP="00C914A6">
            <w:pPr>
              <w:snapToGrid w:val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C914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P</w:t>
            </w:r>
            <w:r w:rsidR="00DA50DE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aram</w:t>
            </w:r>
            <w:r w:rsidR="00F6018B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</w:t>
            </w:r>
            <w:r w:rsidRPr="00C914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tr</w:t>
            </w:r>
          </w:p>
        </w:tc>
        <w:tc>
          <w:tcPr>
            <w:tcW w:w="4961" w:type="dxa"/>
            <w:gridSpan w:val="2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E2BD" w14:textId="68D9493B" w:rsidR="00C914A6" w:rsidRPr="00C914A6" w:rsidRDefault="00C914A6" w:rsidP="00C914A6">
            <w:pPr>
              <w:snapToGrid w:val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M</w:t>
            </w:r>
            <w:r w:rsidRPr="00C914A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etodyka</w:t>
            </w:r>
          </w:p>
        </w:tc>
      </w:tr>
      <w:tr w:rsidR="00DA50DE" w:rsidRPr="001A5529" w14:paraId="0633D1A8" w14:textId="77777777" w:rsidTr="00C914A6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F276" w14:textId="77777777" w:rsidR="00DA50DE" w:rsidRDefault="00DA50DE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F19E" w14:textId="5F33DE16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barwa</w:t>
            </w:r>
          </w:p>
        </w:tc>
        <w:tc>
          <w:tcPr>
            <w:tcW w:w="4961" w:type="dxa"/>
            <w:gridSpan w:val="2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8AE8" w14:textId="63DBCA55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PN-EN ISO 7887:2012+Ap1:2015-06P</w:t>
            </w:r>
          </w:p>
        </w:tc>
      </w:tr>
      <w:tr w:rsidR="00DA50DE" w:rsidRPr="001A5529" w14:paraId="702672BB" w14:textId="77777777" w:rsidTr="00C914A6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EAFAC" w14:textId="77777777" w:rsidR="00DA50DE" w:rsidRDefault="00DA50DE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61CEC" w14:textId="224E924D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mętność</w:t>
            </w:r>
          </w:p>
        </w:tc>
        <w:tc>
          <w:tcPr>
            <w:tcW w:w="4961" w:type="dxa"/>
            <w:gridSpan w:val="2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4F7D" w14:textId="3B4F5AB5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PN-EN ISO 7027-1:2016-09</w:t>
            </w:r>
          </w:p>
        </w:tc>
      </w:tr>
      <w:tr w:rsidR="00DA50DE" w:rsidRPr="001A5529" w14:paraId="61C31776" w14:textId="77777777" w:rsidTr="00C914A6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C67BF" w14:textId="77777777" w:rsidR="00DA50DE" w:rsidRDefault="00DA50DE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CEF3" w14:textId="34C3535D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stężenia jonów wodoru pH</w:t>
            </w:r>
          </w:p>
        </w:tc>
        <w:tc>
          <w:tcPr>
            <w:tcW w:w="4961" w:type="dxa"/>
            <w:gridSpan w:val="2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FB79" w14:textId="4461F977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PN-EN ISO 10523:2012</w:t>
            </w:r>
          </w:p>
        </w:tc>
      </w:tr>
      <w:tr w:rsidR="00DA50DE" w:rsidRPr="001A5529" w14:paraId="5E10FCDA" w14:textId="77777777" w:rsidTr="00C914A6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B089" w14:textId="77777777" w:rsidR="00DA50DE" w:rsidRDefault="00DA50DE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761A" w14:textId="51356999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przewodność</w:t>
            </w:r>
          </w:p>
        </w:tc>
        <w:tc>
          <w:tcPr>
            <w:tcW w:w="4961" w:type="dxa"/>
            <w:gridSpan w:val="2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8083" w14:textId="0920E6BB" w:rsidR="00DA50DE" w:rsidRPr="00DA50DE" w:rsidRDefault="00DA50DE" w:rsidP="0003624C">
            <w:pPr>
              <w:snapToGrid w:val="0"/>
              <w:rPr>
                <w:rFonts w:asciiTheme="minorHAnsi" w:hAnsiTheme="minorHAnsi" w:cstheme="minorHAnsi"/>
                <w:i/>
                <w:color w:val="808080" w:themeColor="background1" w:themeShade="80"/>
                <w:sz w:val="17"/>
                <w:szCs w:val="17"/>
              </w:rPr>
            </w:pPr>
            <w:r w:rsidRPr="00DA50DE">
              <w:rPr>
                <w:rFonts w:asciiTheme="minorHAnsi" w:hAnsiTheme="minorHAnsi" w:cstheme="minorHAnsi"/>
                <w:sz w:val="20"/>
                <w:szCs w:val="20"/>
              </w:rPr>
              <w:t>PN-EN 27888:1999</w:t>
            </w:r>
          </w:p>
        </w:tc>
      </w:tr>
      <w:tr w:rsidR="00D92CEB" w:rsidRPr="001A5529" w14:paraId="6832F805" w14:textId="77777777" w:rsidTr="00F6018B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0241" w14:textId="77777777" w:rsidR="00D92CEB" w:rsidRPr="00AF0541" w:rsidRDefault="00FE4CA4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Aktualna norma </w:t>
            </w:r>
            <w:r w:rsidR="00D5468E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wymaganie prawne </w:t>
            </w:r>
            <w:r w:rsidR="00D5468E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0C5B35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Metody badawcze </w:t>
            </w:r>
            <w:r w:rsidR="00036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624C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6920" w14:textId="77777777" w:rsidR="000C5B35" w:rsidRPr="00D6580D" w:rsidRDefault="00D6580D" w:rsidP="00E94EBF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i/>
                <w:color w:val="808080" w:themeColor="background1" w:themeShade="80"/>
              </w:rPr>
            </w:pPr>
            <w:r w:rsidRPr="00D6580D">
              <w:rPr>
                <w:rFonts w:asciiTheme="minorHAnsi" w:hAnsiTheme="minorHAnsi" w:cs="Calibri"/>
                <w:i/>
              </w:rPr>
              <w:t xml:space="preserve">Część A </w:t>
            </w:r>
            <w:r w:rsidR="00E94EBF" w:rsidRPr="00D6580D">
              <w:rPr>
                <w:rFonts w:asciiTheme="minorHAnsi" w:hAnsiTheme="minorHAnsi" w:cs="Calibri"/>
                <w:i/>
              </w:rPr>
              <w:t xml:space="preserve"> </w:t>
            </w:r>
            <w:r w:rsidRPr="00D6580D">
              <w:rPr>
                <w:rFonts w:asciiTheme="minorHAnsi" w:hAnsiTheme="minorHAnsi" w:cs="Calibri"/>
                <w:i/>
              </w:rPr>
              <w:t xml:space="preserve">ROZPORZĄDZENIA </w:t>
            </w:r>
            <w:r w:rsidR="00E94EBF" w:rsidRPr="00D6580D">
              <w:rPr>
                <w:rFonts w:asciiTheme="minorHAnsi" w:hAnsiTheme="minorHAnsi" w:cs="Calibri"/>
                <w:i/>
              </w:rPr>
              <w:t>MINISTRA ZDROWIA z dnia 7 grudnia 2017 r. w sprawie jakości wody przeznaczonej do spożycia przez ludzi</w:t>
            </w:r>
          </w:p>
        </w:tc>
      </w:tr>
      <w:tr w:rsidR="000C5B35" w:rsidRPr="001A5529" w14:paraId="44F20D19" w14:textId="77777777" w:rsidTr="0037505E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1BA5A" w14:textId="77777777" w:rsidR="000C5B35" w:rsidRPr="00AF0541" w:rsidRDefault="000C5B35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Materiał badany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BCB3" w14:textId="77777777" w:rsidR="000C5B35" w:rsidRPr="00875849" w:rsidRDefault="00742527" w:rsidP="00810DA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="Calibri"/>
                <w:b/>
                <w:color w:val="808080" w:themeColor="background1" w:themeShade="80"/>
              </w:rPr>
            </w:pPr>
            <w:r w:rsidRPr="00875849">
              <w:rPr>
                <w:rFonts w:asciiTheme="minorHAnsi" w:hAnsiTheme="minorHAnsi" w:cs="Calibri"/>
                <w:i/>
              </w:rPr>
              <w:t xml:space="preserve">Woda </w:t>
            </w:r>
            <w:r w:rsidR="00AD7FB7" w:rsidRPr="00875849">
              <w:rPr>
                <w:rFonts w:asciiTheme="minorHAnsi" w:hAnsiTheme="minorHAnsi" w:cs="Calibri"/>
                <w:i/>
              </w:rPr>
              <w:t xml:space="preserve">przeznaczona </w:t>
            </w:r>
            <w:r w:rsidRPr="00875849">
              <w:rPr>
                <w:rFonts w:asciiTheme="minorHAnsi" w:hAnsiTheme="minorHAnsi" w:cs="Calibri"/>
                <w:i/>
              </w:rPr>
              <w:t>do spożycia</w:t>
            </w:r>
            <w:r w:rsidR="00810DAD" w:rsidRPr="00875849">
              <w:rPr>
                <w:rFonts w:asciiTheme="minorHAnsi" w:hAnsiTheme="minorHAnsi" w:cs="Calibri"/>
                <w:i/>
              </w:rPr>
              <w:t xml:space="preserve"> przez ludzi</w:t>
            </w:r>
          </w:p>
        </w:tc>
      </w:tr>
      <w:tr w:rsidR="005311EF" w:rsidRPr="001A5529" w14:paraId="29118893" w14:textId="77777777" w:rsidTr="009D78B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4B7B" w14:textId="77777777" w:rsidR="005311EF" w:rsidRPr="00AF0541" w:rsidRDefault="005311EF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Wycena badania</w:t>
            </w:r>
            <w:r w:rsidR="000362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624C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56787" w14:textId="0A980C58" w:rsidR="005311EF" w:rsidRPr="00875849" w:rsidRDefault="008F13F6" w:rsidP="00810DA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……</w:t>
            </w:r>
            <w:r w:rsidR="00875849" w:rsidRPr="00875849">
              <w:rPr>
                <w:rFonts w:asciiTheme="minorHAnsi" w:hAnsiTheme="minorHAnsi" w:cs="Calibri"/>
                <w:i/>
                <w:sz w:val="20"/>
                <w:szCs w:val="20"/>
              </w:rPr>
              <w:t xml:space="preserve"> zł netto/próbka</w:t>
            </w:r>
          </w:p>
        </w:tc>
      </w:tr>
      <w:tr w:rsidR="00D92CEB" w:rsidRPr="001A5529" w14:paraId="22CACF9D" w14:textId="77777777" w:rsidTr="00C914A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79BF" w14:textId="690A2742" w:rsidR="00810DAD" w:rsidRPr="00C914A6" w:rsidRDefault="00810DAD" w:rsidP="00C914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Punkt pobrania próbki: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62D8" w14:textId="6489E17E" w:rsidR="00810DAD" w:rsidRPr="003D3938" w:rsidRDefault="00810DAD" w:rsidP="00C914A6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  <w:r w:rsidRPr="003D3938"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  <w:t xml:space="preserve">- </w:t>
            </w:r>
            <w:r w:rsidR="0006466B" w:rsidRPr="003D3938"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  <w:t xml:space="preserve">      </w:t>
            </w:r>
            <w:r w:rsidRPr="003D3938"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  <w:t>miejsce</w:t>
            </w:r>
            <w:r w:rsidR="00A95B5A"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  <w:t>, adres poboru</w:t>
            </w:r>
          </w:p>
        </w:tc>
      </w:tr>
    </w:tbl>
    <w:p w14:paraId="0D07B65A" w14:textId="77777777" w:rsidR="00361F49" w:rsidRPr="001A5529" w:rsidRDefault="00361F49" w:rsidP="00AE034B">
      <w:pPr>
        <w:pStyle w:val="PPNT"/>
        <w:spacing w:after="0"/>
        <w:ind w:left="0" w:firstLine="0"/>
        <w:rPr>
          <w:rFonts w:asciiTheme="minorHAnsi" w:hAnsiTheme="minorHAnsi"/>
          <w:sz w:val="17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709"/>
        <w:gridCol w:w="1417"/>
        <w:gridCol w:w="284"/>
        <w:gridCol w:w="1559"/>
        <w:gridCol w:w="992"/>
        <w:gridCol w:w="1843"/>
      </w:tblGrid>
      <w:tr w:rsidR="00361F49" w:rsidRPr="001A5529" w14:paraId="0C25CB0A" w14:textId="77777777" w:rsidTr="00F230A6">
        <w:trPr>
          <w:trHeight w:val="328"/>
        </w:trPr>
        <w:tc>
          <w:tcPr>
            <w:tcW w:w="10348" w:type="dxa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14:paraId="7BEB4793" w14:textId="77777777"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F230A6">
              <w:rPr>
                <w:rFonts w:asciiTheme="minorHAnsi" w:hAnsiTheme="minorHAnsi"/>
                <w:b/>
                <w:sz w:val="22"/>
                <w:szCs w:val="22"/>
              </w:rPr>
              <w:t>ZLECENIE BADANIA (wypełnia Zleceniodawca)</w:t>
            </w:r>
          </w:p>
        </w:tc>
      </w:tr>
      <w:tr w:rsidR="00E94699" w:rsidRPr="001A5529" w14:paraId="72E6505B" w14:textId="77777777" w:rsidTr="009D78B0">
        <w:trPr>
          <w:trHeight w:val="278"/>
        </w:trPr>
        <w:tc>
          <w:tcPr>
            <w:tcW w:w="10348" w:type="dxa"/>
            <w:gridSpan w:val="8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0EB0332" w14:textId="77777777" w:rsidR="00E94699" w:rsidRPr="00AF0541" w:rsidRDefault="00E94699" w:rsidP="008B16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541">
              <w:rPr>
                <w:rFonts w:asciiTheme="minorHAnsi" w:hAnsiTheme="minorHAnsi"/>
                <w:b/>
                <w:sz w:val="20"/>
                <w:szCs w:val="20"/>
              </w:rPr>
              <w:t>Dane Zleceniodawcy /Płatnika</w:t>
            </w:r>
          </w:p>
        </w:tc>
      </w:tr>
      <w:tr w:rsidR="00E94699" w:rsidRPr="001A5529" w14:paraId="01CEE067" w14:textId="77777777" w:rsidTr="009D78B0">
        <w:trPr>
          <w:trHeight w:val="381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9FEF" w14:textId="77777777" w:rsidR="00E94699" w:rsidRPr="00AF0541" w:rsidRDefault="00E94699" w:rsidP="007670A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Imię i nazwisko osoby do kontaktu</w:t>
            </w:r>
          </w:p>
        </w:tc>
        <w:tc>
          <w:tcPr>
            <w:tcW w:w="2693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4F54474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FEB8F" w14:textId="77777777"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Nazwa placówki/Płatnika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50CA97C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4699" w:rsidRPr="001A5529" w14:paraId="09698C99" w14:textId="77777777" w:rsidTr="009D78B0">
        <w:trPr>
          <w:trHeight w:val="397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8387B0" w14:textId="77777777" w:rsidR="00E94699" w:rsidRPr="00AF0541" w:rsidRDefault="00E94699" w:rsidP="00E94699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Telefon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</w:t>
            </w: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do kontaktu</w:t>
            </w:r>
          </w:p>
        </w:tc>
        <w:tc>
          <w:tcPr>
            <w:tcW w:w="2693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8F95496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F3C1" w14:textId="77777777"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Adres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44A1737" w14:textId="77777777" w:rsidR="00E94699" w:rsidRPr="00A131FF" w:rsidRDefault="00E94699" w:rsidP="0042273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4699" w:rsidRPr="001A5529" w14:paraId="2A73613C" w14:textId="77777777" w:rsidTr="009D78B0">
        <w:trPr>
          <w:trHeight w:val="386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38779" w14:textId="77777777" w:rsidR="00E94699" w:rsidRPr="00AF0541" w:rsidRDefault="00E94699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 do kontaktu</w:t>
            </w:r>
          </w:p>
        </w:tc>
        <w:tc>
          <w:tcPr>
            <w:tcW w:w="2693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6B10826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24F74" w14:textId="77777777"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NIP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7FEF115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30DF" w:rsidRPr="001A5529" w14:paraId="0E280ABD" w14:textId="77777777" w:rsidTr="004930DF">
        <w:trPr>
          <w:trHeight w:val="363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916A8D" w14:textId="20BEE816" w:rsidR="004930DF" w:rsidRPr="00AF0541" w:rsidRDefault="004930DF" w:rsidP="006155A3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</w:tc>
        <w:tc>
          <w:tcPr>
            <w:tcW w:w="2977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CB14CF5" w14:textId="1C8E884C" w:rsidR="004930DF" w:rsidRPr="005311EF" w:rsidRDefault="004930DF" w:rsidP="004930D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0231CE">
              <w:rPr>
                <w:rFonts w:asciiTheme="minorHAnsi" w:hAnsiTheme="minorHAnsi"/>
              </w:rPr>
              <w:t xml:space="preserve">□ </w:t>
            </w:r>
            <w:r w:rsidRPr="001A5529">
              <w:rPr>
                <w:rFonts w:asciiTheme="minorHAnsi" w:hAnsiTheme="minorHAnsi"/>
                <w:sz w:val="17"/>
                <w:szCs w:val="17"/>
              </w:rPr>
              <w:t xml:space="preserve">pojedynczy raport dla każdej próby                                            </w:t>
            </w:r>
            <w:r w:rsidRPr="00415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415EA1">
              <w:rPr>
                <w:rFonts w:asciiTheme="minorHAnsi" w:hAnsiTheme="minorHAnsi"/>
                <w:sz w:val="22"/>
                <w:szCs w:val="22"/>
              </w:rPr>
              <w:t>□</w:t>
            </w:r>
            <w:r w:rsidRPr="001A5529">
              <w:rPr>
                <w:rFonts w:asciiTheme="minorHAnsi" w:hAnsiTheme="minorHAnsi"/>
                <w:sz w:val="17"/>
                <w:szCs w:val="17"/>
              </w:rPr>
              <w:t xml:space="preserve">  raport zbiorczy</w:t>
            </w:r>
          </w:p>
        </w:tc>
        <w:tc>
          <w:tcPr>
            <w:tcW w:w="2551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E23383" w14:textId="77777777" w:rsidR="004930DF" w:rsidRPr="00226D7E" w:rsidRDefault="004930DF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Czy uwzględniać niepewność pomiaru przy podowaniu wyników?</w:t>
            </w:r>
          </w:p>
        </w:tc>
        <w:tc>
          <w:tcPr>
            <w:tcW w:w="184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DF00A2" w14:textId="1272D9C2" w:rsidR="004930DF" w:rsidRPr="001A5529" w:rsidRDefault="004930DF" w:rsidP="002C60F3">
            <w:pPr>
              <w:snapToGrid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TAK / NIE </w:t>
            </w:r>
            <w:r w:rsidR="002C60F3">
              <w:rPr>
                <w:rFonts w:asciiTheme="minorHAnsi" w:hAnsiTheme="minorHAnsi"/>
                <w:sz w:val="17"/>
                <w:szCs w:val="17"/>
                <w:vertAlign w:val="superscript"/>
              </w:rPr>
              <w:t>5</w:t>
            </w:r>
          </w:p>
        </w:tc>
      </w:tr>
      <w:tr w:rsidR="00471039" w:rsidRPr="001A5529" w14:paraId="0A6D643E" w14:textId="77777777" w:rsidTr="00F6018B">
        <w:trPr>
          <w:trHeight w:val="347"/>
        </w:trPr>
        <w:tc>
          <w:tcPr>
            <w:tcW w:w="2977" w:type="dxa"/>
            <w:vMerge w:val="restart"/>
            <w:tcBorders>
              <w:top w:val="single" w:sz="6" w:space="0" w:color="548DD4" w:themeColor="text2" w:themeTint="99"/>
              <w:left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30BDDE" w14:textId="54582FED" w:rsidR="00471039" w:rsidRPr="00AF0541" w:rsidRDefault="00471039" w:rsidP="002C60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Czy ma być przeprowadzone stwierdzenie zgodności z wymaganiami? </w:t>
            </w:r>
            <w:r w:rsidR="002C60F3" w:rsidRPr="005866D4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567" w:type="dxa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0CC418" w14:textId="38108EF3" w:rsidR="00471039" w:rsidRPr="001A5529" w:rsidRDefault="00471039" w:rsidP="00471039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5311EF">
              <w:rPr>
                <w:rFonts w:asciiTheme="minorHAnsi" w:hAnsiTheme="minorHAnsi"/>
                <w:sz w:val="18"/>
                <w:szCs w:val="18"/>
              </w:rPr>
              <w:t xml:space="preserve">NIE </w:t>
            </w:r>
          </w:p>
        </w:tc>
        <w:tc>
          <w:tcPr>
            <w:tcW w:w="709" w:type="dxa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9C1731" w14:textId="3C5D89E1" w:rsidR="00471039" w:rsidRPr="001A5529" w:rsidRDefault="00471039" w:rsidP="002C60F3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5311EF">
              <w:rPr>
                <w:rFonts w:asciiTheme="minorHAnsi" w:hAnsiTheme="minorHAnsi"/>
                <w:sz w:val="18"/>
                <w:szCs w:val="18"/>
              </w:rPr>
              <w:t>TAK</w:t>
            </w:r>
            <w:r>
              <w:rPr>
                <w:rFonts w:asciiTheme="minorHAnsi" w:hAnsiTheme="minorHAnsi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4C7B716" w14:textId="63F01BD9" w:rsidR="00471039" w:rsidRPr="00471039" w:rsidRDefault="00471039" w:rsidP="00DA50DE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471039">
              <w:rPr>
                <w:rFonts w:asciiTheme="minorHAnsi" w:hAnsiTheme="minorHAnsi" w:cstheme="minorHAnsi"/>
                <w:sz w:val="14"/>
                <w:szCs w:val="14"/>
                <w:shd w:val="clear" w:color="auto" w:fill="F5F5F5"/>
              </w:rPr>
              <w:t>1) zasada podejmowania decyzji oparta o prosta akceptację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C7A16E" w14:textId="77777777" w:rsidR="00471039" w:rsidRPr="00226D7E" w:rsidRDefault="00471039" w:rsidP="00316A4D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</w:p>
        </w:tc>
        <w:tc>
          <w:tcPr>
            <w:tcW w:w="1843" w:type="dxa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188DC04" w14:textId="77777777" w:rsidR="00471039" w:rsidRPr="001A5529" w:rsidRDefault="00471039" w:rsidP="00316A4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71039" w:rsidRPr="001A5529" w14:paraId="1A00A9DF" w14:textId="77777777" w:rsidTr="00F6018B">
        <w:trPr>
          <w:trHeight w:val="220"/>
        </w:trPr>
        <w:tc>
          <w:tcPr>
            <w:tcW w:w="2977" w:type="dxa"/>
            <w:vMerge/>
            <w:tcBorders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03A1E4" w14:textId="77777777" w:rsidR="00471039" w:rsidRPr="00AF0541" w:rsidRDefault="00471039" w:rsidP="005311EF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166564A" w14:textId="77777777" w:rsidR="00471039" w:rsidRPr="005311EF" w:rsidRDefault="00471039" w:rsidP="0047103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AA51A5" w14:textId="77777777" w:rsidR="00471039" w:rsidRPr="005311EF" w:rsidRDefault="00471039" w:rsidP="00DA50DE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E08F9AC" w14:textId="2F82A551" w:rsidR="00471039" w:rsidRPr="00471039" w:rsidRDefault="00471039" w:rsidP="002C60F3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471039">
              <w:rPr>
                <w:rFonts w:asciiTheme="minorHAnsi" w:hAnsiTheme="minorHAnsi" w:cstheme="minorHAnsi"/>
                <w:sz w:val="14"/>
                <w:szCs w:val="14"/>
                <w:shd w:val="clear" w:color="auto" w:fill="F5F5F5"/>
              </w:rPr>
              <w:t xml:space="preserve">2) zasada podejmowania decyzji </w:t>
            </w:r>
            <w:r w:rsidR="002C60F3">
              <w:rPr>
                <w:rFonts w:asciiTheme="minorHAnsi" w:hAnsiTheme="minorHAnsi" w:cstheme="minorHAnsi"/>
                <w:sz w:val="14"/>
                <w:szCs w:val="14"/>
                <w:shd w:val="clear" w:color="auto" w:fill="F5F5F5"/>
              </w:rPr>
              <w:t>zaproponowana przez Klienta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5F1C71" w14:textId="77777777" w:rsidR="00471039" w:rsidRPr="00226D7E" w:rsidRDefault="00471039" w:rsidP="00316A4D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0D30200" w14:textId="77777777" w:rsidR="00471039" w:rsidRPr="001A5529" w:rsidRDefault="00471039" w:rsidP="00316A4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930DF" w:rsidRPr="001A5529" w14:paraId="432B0A8B" w14:textId="77777777" w:rsidTr="00E45ED0">
        <w:trPr>
          <w:trHeight w:val="363"/>
        </w:trPr>
        <w:tc>
          <w:tcPr>
            <w:tcW w:w="10348" w:type="dxa"/>
            <w:gridSpan w:val="8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1AB4962" w14:textId="77777777" w:rsidR="004930DF" w:rsidRPr="001A5529" w:rsidRDefault="004930DF" w:rsidP="00316A4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AF522F">
              <w:rPr>
                <w:rFonts w:asciiTheme="minorHAnsi" w:hAnsiTheme="minorHAnsi"/>
                <w:sz w:val="17"/>
                <w:szCs w:val="17"/>
              </w:rPr>
              <w:t>Zapłata za wykonanie badania nastąpi przelewem  na konto PPNT Gdynia na podstawie FV płatnej w terminie 7 dni od daty wystawienia.</w:t>
            </w:r>
          </w:p>
        </w:tc>
      </w:tr>
    </w:tbl>
    <w:p w14:paraId="65405D72" w14:textId="77777777" w:rsidR="005866D4" w:rsidRPr="00F6018B" w:rsidRDefault="005866D4" w:rsidP="005866D4">
      <w:pPr>
        <w:rPr>
          <w:rFonts w:asciiTheme="minorHAnsi" w:hAnsiTheme="minorHAnsi" w:cstheme="minorHAnsi"/>
          <w:b/>
          <w:sz w:val="14"/>
          <w:szCs w:val="14"/>
        </w:rPr>
      </w:pPr>
      <w:r w:rsidRPr="00F6018B">
        <w:rPr>
          <w:rFonts w:asciiTheme="minorHAnsi" w:hAnsiTheme="minorHAnsi" w:cstheme="minorHAnsi"/>
          <w:b/>
          <w:sz w:val="12"/>
          <w:szCs w:val="12"/>
          <w:vertAlign w:val="superscript"/>
        </w:rPr>
        <w:t>1</w:t>
      </w:r>
      <w:r w:rsidRPr="00F6018B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F6018B">
        <w:rPr>
          <w:rFonts w:asciiTheme="minorHAnsi" w:hAnsiTheme="minorHAnsi" w:cstheme="minorHAnsi"/>
          <w:b/>
          <w:sz w:val="14"/>
          <w:szCs w:val="14"/>
        </w:rPr>
        <w:t>Bio Laboratorium PPNT zapewnia poufność badań i odpowiada jedynie za poprawność wykonania badania.</w:t>
      </w:r>
    </w:p>
    <w:p w14:paraId="714DCE48" w14:textId="77777777" w:rsidR="005866D4" w:rsidRPr="00F6018B" w:rsidRDefault="005866D4" w:rsidP="005866D4">
      <w:pPr>
        <w:rPr>
          <w:rFonts w:asciiTheme="minorHAnsi" w:hAnsiTheme="minorHAnsi" w:cstheme="minorHAnsi"/>
          <w:b/>
          <w:sz w:val="14"/>
          <w:szCs w:val="14"/>
        </w:rPr>
      </w:pPr>
      <w:r w:rsidRPr="00F6018B">
        <w:rPr>
          <w:rFonts w:asciiTheme="minorHAnsi" w:hAnsiTheme="minorHAnsi" w:cstheme="minorHAnsi"/>
          <w:b/>
          <w:sz w:val="14"/>
          <w:szCs w:val="14"/>
          <w:vertAlign w:val="superscript"/>
        </w:rPr>
        <w:t>2</w:t>
      </w:r>
      <w:r w:rsidRPr="00F6018B">
        <w:rPr>
          <w:rFonts w:asciiTheme="minorHAnsi" w:hAnsiTheme="minorHAnsi" w:cstheme="minorHAnsi"/>
          <w:b/>
          <w:sz w:val="14"/>
          <w:szCs w:val="14"/>
        </w:rPr>
        <w:t xml:space="preserve"> Wycena badania dotyczy danego zlecenia. Wycena badania jest poufna, zabrania się upowszechniania szczegółów zlecenia osobom trzecim.</w:t>
      </w:r>
    </w:p>
    <w:p w14:paraId="4E92F0F1" w14:textId="7DC4B17F" w:rsidR="002C60F3" w:rsidRPr="00F6018B" w:rsidRDefault="002C60F3" w:rsidP="005866D4">
      <w:pPr>
        <w:rPr>
          <w:rFonts w:asciiTheme="minorHAnsi" w:hAnsiTheme="minorHAnsi" w:cstheme="minorHAnsi"/>
          <w:b/>
          <w:sz w:val="14"/>
          <w:szCs w:val="14"/>
        </w:rPr>
      </w:pPr>
      <w:r w:rsidRPr="00F6018B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3 </w:t>
      </w:r>
      <w:r w:rsidRPr="00F6018B">
        <w:rPr>
          <w:rFonts w:asciiTheme="minorHAnsi" w:hAnsiTheme="minorHAnsi" w:cstheme="minorHAnsi"/>
          <w:b/>
          <w:sz w:val="14"/>
          <w:szCs w:val="14"/>
        </w:rPr>
        <w:t>Organ oceniający może zastosować inną zasadę podejmowania decyzji.</w:t>
      </w:r>
    </w:p>
    <w:p w14:paraId="77DBB87B" w14:textId="3AA44C64" w:rsidR="005866D4" w:rsidRPr="00F6018B" w:rsidRDefault="002C60F3" w:rsidP="005866D4">
      <w:pPr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6018B">
        <w:rPr>
          <w:rFonts w:asciiTheme="minorHAnsi" w:hAnsiTheme="minorHAnsi" w:cstheme="minorHAnsi"/>
          <w:b/>
          <w:sz w:val="14"/>
          <w:szCs w:val="14"/>
          <w:vertAlign w:val="superscript"/>
        </w:rPr>
        <w:t>4</w:t>
      </w:r>
      <w:r w:rsidR="005866D4" w:rsidRPr="00F6018B">
        <w:rPr>
          <w:rFonts w:asciiTheme="minorHAnsi" w:hAnsiTheme="minorHAnsi" w:cstheme="minorHAnsi"/>
          <w:b/>
          <w:sz w:val="14"/>
          <w:szCs w:val="14"/>
        </w:rPr>
        <w:t xml:space="preserve"> Do realizacji zlecenia stosuje się Regulamin Ogólnych Warunków Świadczenia Usług przez Bio Laboratorium PPNT Gdynia, dostępne pod adresem. </w:t>
      </w:r>
      <w:r w:rsidR="005866D4" w:rsidRPr="00F6018B">
        <w:rPr>
          <w:rStyle w:val="Hipercze"/>
          <w:rFonts w:asciiTheme="minorHAnsi" w:hAnsiTheme="minorHAnsi" w:cstheme="minorHAnsi"/>
          <w:b/>
          <w:color w:val="auto"/>
          <w:sz w:val="14"/>
          <w:szCs w:val="14"/>
        </w:rPr>
        <w:t>https://ppnt.pl/dzi</w:t>
      </w:r>
      <w:r w:rsidR="00875849" w:rsidRPr="00F6018B">
        <w:rPr>
          <w:rStyle w:val="Hipercze"/>
          <w:rFonts w:asciiTheme="minorHAnsi" w:hAnsiTheme="minorHAnsi" w:cstheme="minorHAnsi"/>
          <w:b/>
          <w:color w:val="auto"/>
          <w:sz w:val="14"/>
          <w:szCs w:val="14"/>
        </w:rPr>
        <w:t>aly-i-projekty</w:t>
      </w:r>
      <w:r w:rsidR="005866D4" w:rsidRPr="00F6018B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4C7C54C6" w14:textId="6B7F3E13" w:rsidR="00DA50DE" w:rsidRPr="00F6018B" w:rsidRDefault="002C60F3" w:rsidP="00DA50DE">
      <w:pPr>
        <w:pStyle w:val="Akapitzlist"/>
        <w:ind w:left="0"/>
        <w:rPr>
          <w:rFonts w:asciiTheme="minorHAnsi" w:hAnsiTheme="minorHAnsi" w:cstheme="minorHAnsi"/>
          <w:b/>
          <w:sz w:val="14"/>
          <w:szCs w:val="14"/>
          <w:shd w:val="clear" w:color="auto" w:fill="F5F5F5"/>
        </w:rPr>
      </w:pPr>
      <w:r w:rsidRPr="00F6018B">
        <w:rPr>
          <w:rFonts w:asciiTheme="minorHAnsi" w:hAnsiTheme="minorHAnsi" w:cstheme="minorHAnsi"/>
          <w:b/>
          <w:sz w:val="14"/>
          <w:szCs w:val="14"/>
          <w:vertAlign w:val="superscript"/>
        </w:rPr>
        <w:t>5</w:t>
      </w:r>
      <w:r w:rsidR="00DA50DE" w:rsidRPr="00F6018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A50DE" w:rsidRP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>Jeśli stwierdzenie zgodności ma być przeprowadzone, podanie niepewności pomiaru jest obligatoryjne.</w:t>
      </w:r>
    </w:p>
    <w:p w14:paraId="05BACE80" w14:textId="4F9799B3" w:rsidR="00DA50DE" w:rsidRPr="004030EB" w:rsidRDefault="002C60F3" w:rsidP="00DA50DE">
      <w:pPr>
        <w:pStyle w:val="Akapitzlist"/>
        <w:ind w:left="0"/>
        <w:rPr>
          <w:rFonts w:asciiTheme="minorHAnsi" w:hAnsiTheme="minorHAnsi" w:cstheme="minorHAnsi"/>
          <w:b/>
          <w:sz w:val="14"/>
          <w:szCs w:val="14"/>
          <w:shd w:val="clear" w:color="auto" w:fill="F5F5F5"/>
        </w:rPr>
      </w:pPr>
      <w:r w:rsidRPr="00F6018B">
        <w:rPr>
          <w:rFonts w:asciiTheme="minorHAnsi" w:hAnsiTheme="minorHAnsi" w:cstheme="minorHAnsi"/>
          <w:b/>
          <w:sz w:val="14"/>
          <w:szCs w:val="14"/>
          <w:vertAlign w:val="superscript"/>
        </w:rPr>
        <w:t>6</w:t>
      </w:r>
      <w:r w:rsidR="00DA50DE" w:rsidRPr="00F6018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A50DE" w:rsidRP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>Podpis Kierownika Bio Lab</w:t>
      </w:r>
      <w:r w:rsid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>oratorium</w:t>
      </w:r>
      <w:r w:rsidR="00DA50DE" w:rsidRP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 xml:space="preserve"> jest jednoznaczny z wykonaniem przez Kierownika Bio Lab</w:t>
      </w:r>
      <w:r w:rsid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>oratorium</w:t>
      </w:r>
      <w:r w:rsidR="00DA50DE" w:rsidRP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 xml:space="preserve"> przeglądu zlecenia oraz stwierdzeniem, że Bio Lab</w:t>
      </w:r>
      <w:r w:rsid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>oratorium</w:t>
      </w:r>
      <w:r w:rsidR="00DA50DE" w:rsidRPr="00F6018B">
        <w:rPr>
          <w:rFonts w:asciiTheme="minorHAnsi" w:hAnsiTheme="minorHAnsi" w:cstheme="minorHAnsi"/>
          <w:b/>
          <w:sz w:val="14"/>
          <w:szCs w:val="14"/>
          <w:shd w:val="clear" w:color="auto" w:fill="F5F5F5"/>
        </w:rPr>
        <w:t xml:space="preserve"> ma możliwości i zasoby do realizacji Zlecenia.</w:t>
      </w:r>
    </w:p>
    <w:p w14:paraId="43413940" w14:textId="77777777" w:rsidR="00AD7FB7" w:rsidRPr="00794595" w:rsidRDefault="00AD7FB7" w:rsidP="00AF054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0"/>
        <w:gridCol w:w="5224"/>
      </w:tblGrid>
      <w:tr w:rsidR="008D4CE4" w14:paraId="46600B35" w14:textId="77777777" w:rsidTr="008D4CE4">
        <w:trPr>
          <w:trHeight w:val="349"/>
        </w:trPr>
        <w:tc>
          <w:tcPr>
            <w:tcW w:w="4730" w:type="dxa"/>
            <w:vAlign w:val="center"/>
          </w:tcPr>
          <w:p w14:paraId="2EF7B612" w14:textId="77777777" w:rsidR="008D4CE4" w:rsidRPr="00B23BAE" w:rsidRDefault="008D4CE4" w:rsidP="00AD12C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Osoba przyjmująca zlecenie</w:t>
            </w:r>
          </w:p>
        </w:tc>
        <w:tc>
          <w:tcPr>
            <w:tcW w:w="5224" w:type="dxa"/>
            <w:vAlign w:val="center"/>
          </w:tcPr>
          <w:p w14:paraId="70108F8D" w14:textId="6BDEC571" w:rsidR="008D4CE4" w:rsidRPr="00B23BAE" w:rsidRDefault="008D4CE4" w:rsidP="004030EB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 xml:space="preserve">Podpis Kierownika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Bio L</w:t>
            </w: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aboratorium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7</w:t>
            </w:r>
          </w:p>
        </w:tc>
      </w:tr>
      <w:tr w:rsidR="008D4CE4" w14:paraId="09DB1C0B" w14:textId="77777777" w:rsidTr="008D4CE4">
        <w:trPr>
          <w:trHeight w:val="332"/>
        </w:trPr>
        <w:tc>
          <w:tcPr>
            <w:tcW w:w="4730" w:type="dxa"/>
            <w:vAlign w:val="center"/>
          </w:tcPr>
          <w:p w14:paraId="68D72EE7" w14:textId="77777777" w:rsidR="008D4CE4" w:rsidRPr="001A5529" w:rsidRDefault="008D4CE4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5224" w:type="dxa"/>
            <w:vAlign w:val="center"/>
          </w:tcPr>
          <w:p w14:paraId="222F40F1" w14:textId="77777777" w:rsidR="008D4CE4" w:rsidRPr="001A5529" w:rsidRDefault="008D4CE4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14:paraId="35CF9834" w14:textId="77777777" w:rsidR="00875849" w:rsidRDefault="00875849" w:rsidP="00A65FCF">
      <w:pPr>
        <w:rPr>
          <w:rFonts w:asciiTheme="minorHAnsi" w:hAnsiTheme="minorHAnsi"/>
          <w:b/>
          <w:sz w:val="18"/>
          <w:szCs w:val="18"/>
        </w:rPr>
      </w:pPr>
    </w:p>
    <w:p w14:paraId="520FA37D" w14:textId="77777777" w:rsidR="00027A8D" w:rsidRDefault="00027A8D" w:rsidP="00A65FCF">
      <w:pPr>
        <w:rPr>
          <w:rFonts w:asciiTheme="minorHAnsi" w:hAnsiTheme="minorHAnsi"/>
          <w:b/>
          <w:sz w:val="18"/>
          <w:szCs w:val="18"/>
        </w:rPr>
      </w:pPr>
    </w:p>
    <w:p w14:paraId="3CFFE041" w14:textId="77777777" w:rsidR="00027A8D" w:rsidRDefault="00027A8D" w:rsidP="00A65FCF">
      <w:pPr>
        <w:rPr>
          <w:rFonts w:asciiTheme="minorHAnsi" w:hAnsiTheme="minorHAnsi"/>
          <w:b/>
          <w:sz w:val="18"/>
          <w:szCs w:val="18"/>
        </w:rPr>
      </w:pPr>
    </w:p>
    <w:p w14:paraId="15412AA8" w14:textId="77777777" w:rsidR="004D4DD1" w:rsidRDefault="004D4DD1" w:rsidP="00A65FCF">
      <w:pPr>
        <w:rPr>
          <w:rFonts w:asciiTheme="minorHAnsi" w:hAnsiTheme="minorHAnsi" w:cstheme="minorHAnsi"/>
          <w:sz w:val="20"/>
          <w:szCs w:val="20"/>
          <w:shd w:val="clear" w:color="auto" w:fill="F5F5F5"/>
        </w:rPr>
      </w:pPr>
    </w:p>
    <w:p w14:paraId="05FC5142" w14:textId="77777777" w:rsidR="003C5AE8" w:rsidRPr="00A65FCF" w:rsidRDefault="00A65FCF" w:rsidP="00A65FCF">
      <w:pPr>
        <w:rPr>
          <w:rFonts w:asciiTheme="minorHAnsi" w:hAnsiTheme="minorHAnsi"/>
          <w:b/>
          <w:sz w:val="18"/>
          <w:szCs w:val="18"/>
          <w:lang w:val="pl-PL"/>
        </w:rPr>
      </w:pPr>
      <w:r w:rsidRPr="00A65FCF">
        <w:rPr>
          <w:rFonts w:asciiTheme="minorHAnsi" w:hAnsiTheme="minorHAnsi"/>
          <w:b/>
          <w:sz w:val="18"/>
          <w:szCs w:val="18"/>
          <w:lang w:val="pl-PL"/>
        </w:rPr>
        <w:t xml:space="preserve">Klauzula informacyjna dot. przetwarzania danych osobowych*: </w:t>
      </w:r>
    </w:p>
    <w:p w14:paraId="3BC60AAC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lastRenderedPageBreak/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14:paraId="37943D14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b. Dane będą przetwarzane w następujących celach:  </w:t>
      </w:r>
    </w:p>
    <w:p w14:paraId="4CF804E0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w celach związanych z realizacją niniejszego zlecenia (art. 6 ust. 1 lit. b) RODO); </w:t>
      </w:r>
    </w:p>
    <w:p w14:paraId="61DFF2B2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w celach rachunkowych i księgowych – na podstawie ustawy z 24 września 1994r. o rachunkowości (art. 6 ust. 1 lit. c) RODO); </w:t>
      </w:r>
    </w:p>
    <w:p w14:paraId="676E7107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ustalenia, dochodzenia i obrony przed roszczeniami, co stanowi prawnie uzasadniony interes Administratora  (art. 6 ust. 1 lit. f) RODO);</w:t>
      </w:r>
    </w:p>
    <w:p w14:paraId="12F2F5A2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marketingowym polegających na przekazaniu informacji np. o szkoleniach/wydarzeniach i innych aktywnościach Administratora (art. 6 ust. 1 lit.  a) RODO);</w:t>
      </w:r>
    </w:p>
    <w:p w14:paraId="0DC60466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przetwarzania wizerunku  (art. 6 ust. 1  lit. a)  RODO).</w:t>
      </w:r>
    </w:p>
    <w:p w14:paraId="00A3678B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c. Dane osobowe będą przechowywane przez okres zależny od celu w jakim zostały zebrane tj. odpowiednio przez okres: </w:t>
      </w:r>
    </w:p>
    <w:p w14:paraId="17C7F29A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przez czas realizacji świadczenia, a po jego upływie przez czas uzasadniony interesem Administratora; </w:t>
      </w:r>
    </w:p>
    <w:p w14:paraId="6CB2ACC6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uwzględnien</w:t>
      </w:r>
      <w:r w:rsidR="00816296" w:rsidRPr="002A140B">
        <w:rPr>
          <w:rFonts w:asciiTheme="minorHAnsi" w:hAnsiTheme="minorHAnsi"/>
          <w:sz w:val="18"/>
          <w:szCs w:val="18"/>
          <w:lang w:val="pl-PL"/>
        </w:rPr>
        <w:t>ia sprzeciwu, o którym mowa w p</w:t>
      </w:r>
      <w:r w:rsidRPr="002A140B">
        <w:rPr>
          <w:rFonts w:asciiTheme="minorHAnsi" w:hAnsiTheme="minorHAnsi"/>
          <w:sz w:val="18"/>
          <w:szCs w:val="18"/>
          <w:lang w:val="pl-PL"/>
        </w:rPr>
        <w:t xml:space="preserve">kt h poniżej; </w:t>
      </w:r>
    </w:p>
    <w:p w14:paraId="1D9B216E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upływu terminów przedawnienia potencjalnych roszczeń;</w:t>
      </w:r>
    </w:p>
    <w:p w14:paraId="635E2DA2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odwołania zgody;</w:t>
      </w:r>
    </w:p>
    <w:p w14:paraId="2F09944B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odwołania zgody.</w:t>
      </w:r>
    </w:p>
    <w:p w14:paraId="1D8ABF10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d. Podanie danych jest dobrowolne, jednakże bez podania danych nie będzie możliwa realizacja wobec Pani/Pana celu, w jakim dane zostały zebrane (zgodnie z pkt. b).</w:t>
      </w:r>
    </w:p>
    <w:p w14:paraId="6ED09D08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14:paraId="54251C0A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f. Dane nie będą przekazywane poza Europejski Obszar Gospodarczy lub do organizacji międzynarodowej. </w:t>
      </w:r>
    </w:p>
    <w:p w14:paraId="2EB18746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g. Zgromadzone dane osobowe nie będą przetwarzane w sposób zautomatyzowany, w tym również w formie profilowania.</w:t>
      </w:r>
    </w:p>
    <w:p w14:paraId="6B9F4186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14:paraId="57A19B41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14:paraId="6DCDE3E7" w14:textId="77777777" w:rsidR="00AD12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14:paraId="0EAD0636" w14:textId="77777777" w:rsidR="00AD12CF" w:rsidRDefault="00AD12CF" w:rsidP="00A65FCF">
      <w:pPr>
        <w:rPr>
          <w:rFonts w:asciiTheme="minorHAnsi" w:hAnsiTheme="minorHAnsi"/>
          <w:sz w:val="18"/>
          <w:szCs w:val="18"/>
          <w:lang w:val="pl-PL"/>
        </w:rPr>
      </w:pPr>
    </w:p>
    <w:p w14:paraId="1ED411AC" w14:textId="77777777" w:rsidR="002A140B" w:rsidRDefault="002A140B" w:rsidP="00A65FCF">
      <w:pPr>
        <w:rPr>
          <w:rFonts w:asciiTheme="minorHAnsi" w:hAnsiTheme="minorHAnsi"/>
          <w:sz w:val="18"/>
          <w:szCs w:val="18"/>
          <w:lang w:val="pl-PL"/>
        </w:rPr>
      </w:pPr>
    </w:p>
    <w:p w14:paraId="48B6B4F9" w14:textId="77777777" w:rsidR="002A140B" w:rsidRPr="002A140B" w:rsidRDefault="002A140B" w:rsidP="00A65FCF">
      <w:pPr>
        <w:rPr>
          <w:rFonts w:asciiTheme="minorHAnsi" w:hAnsiTheme="minorHAnsi"/>
          <w:sz w:val="18"/>
          <w:szCs w:val="18"/>
          <w:lang w:val="pl-PL"/>
        </w:rPr>
      </w:pPr>
    </w:p>
    <w:p w14:paraId="244984DB" w14:textId="77777777" w:rsidR="005437FA" w:rsidRPr="002A140B" w:rsidRDefault="005437FA" w:rsidP="005437FA">
      <w:pPr>
        <w:rPr>
          <w:rFonts w:asciiTheme="minorHAnsi" w:hAnsiTheme="minorHAnsi"/>
          <w:sz w:val="22"/>
          <w:szCs w:val="22"/>
          <w:lang w:val="pl-PL"/>
        </w:rPr>
      </w:pPr>
    </w:p>
    <w:p w14:paraId="337A9B94" w14:textId="77777777" w:rsidR="005437FA" w:rsidRPr="002A140B" w:rsidRDefault="005437FA" w:rsidP="005437FA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  <w:lang w:val="pl-PL"/>
        </w:rPr>
        <w:t>Podpis Zleceniodawcy</w:t>
      </w:r>
      <w:r w:rsidR="00090805" w:rsidRPr="002A140B">
        <w:rPr>
          <w:rFonts w:asciiTheme="minorHAnsi" w:hAnsiTheme="minorHAnsi"/>
          <w:sz w:val="22"/>
          <w:szCs w:val="22"/>
          <w:lang w:val="pl-PL"/>
        </w:rPr>
        <w:t>:</w:t>
      </w:r>
    </w:p>
    <w:p w14:paraId="01AF4454" w14:textId="75E11C2A" w:rsidR="00AD12CF" w:rsidRPr="002A140B" w:rsidRDefault="00AD12CF" w:rsidP="00DC61B6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</w:rPr>
        <w:t xml:space="preserve">(akceptacja </w:t>
      </w:r>
      <w:r w:rsidR="007C3E8C">
        <w:rPr>
          <w:rFonts w:asciiTheme="minorHAnsi" w:hAnsiTheme="minorHAnsi"/>
          <w:sz w:val="22"/>
          <w:szCs w:val="22"/>
        </w:rPr>
        <w:t>metod</w:t>
      </w:r>
      <w:r w:rsidRPr="002A140B">
        <w:rPr>
          <w:rFonts w:asciiTheme="minorHAnsi" w:hAnsiTheme="minorHAnsi"/>
          <w:sz w:val="22"/>
          <w:szCs w:val="22"/>
        </w:rPr>
        <w:t xml:space="preserve">, wyceny, klauzuli informacyjnej) </w:t>
      </w:r>
      <w:r w:rsidRPr="002A140B">
        <w:rPr>
          <w:rFonts w:asciiTheme="minorHAnsi" w:hAnsiTheme="minorHAnsi"/>
          <w:sz w:val="22"/>
          <w:szCs w:val="22"/>
          <w:vertAlign w:val="superscript"/>
        </w:rPr>
        <w:t>1 ,2 ,3</w:t>
      </w:r>
    </w:p>
    <w:p w14:paraId="58028073" w14:textId="77777777" w:rsidR="007C3E8C" w:rsidRDefault="007C3E8C" w:rsidP="00816296">
      <w:pPr>
        <w:rPr>
          <w:rFonts w:asciiTheme="minorHAnsi" w:hAnsiTheme="minorHAnsi"/>
          <w:sz w:val="22"/>
          <w:szCs w:val="22"/>
          <w:lang w:val="pl-PL"/>
        </w:rPr>
      </w:pPr>
    </w:p>
    <w:p w14:paraId="3BDCE989" w14:textId="77777777" w:rsidR="00B66DA2" w:rsidRPr="002A140B" w:rsidRDefault="00090805" w:rsidP="00816296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  <w:lang w:val="pl-PL"/>
        </w:rPr>
        <w:t>……………………………………………</w:t>
      </w:r>
      <w:r w:rsidR="00816296" w:rsidRPr="002A140B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B66DA2" w:rsidRPr="002A140B">
        <w:rPr>
          <w:rFonts w:asciiTheme="minorHAnsi" w:hAnsiTheme="minorHAnsi"/>
          <w:sz w:val="22"/>
          <w:szCs w:val="22"/>
          <w:lang w:val="pl-PL"/>
        </w:rPr>
        <w:t xml:space="preserve">                              </w:t>
      </w:r>
      <w:r w:rsidR="00816296" w:rsidRPr="002A140B">
        <w:rPr>
          <w:rFonts w:asciiTheme="minorHAnsi" w:hAnsiTheme="minorHAnsi"/>
          <w:sz w:val="22"/>
          <w:szCs w:val="22"/>
          <w:lang w:val="pl-PL"/>
        </w:rPr>
        <w:t xml:space="preserve"> </w:t>
      </w:r>
    </w:p>
    <w:sectPr w:rsidR="00B66DA2" w:rsidRPr="002A140B" w:rsidSect="007427B8">
      <w:headerReference w:type="default" r:id="rId8"/>
      <w:footerReference w:type="default" r:id="rId9"/>
      <w:pgSz w:w="11900" w:h="16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D610" w14:textId="77777777" w:rsidR="002D18BF" w:rsidRDefault="002D18BF" w:rsidP="007D1D6D">
      <w:r>
        <w:separator/>
      </w:r>
    </w:p>
  </w:endnote>
  <w:endnote w:type="continuationSeparator" w:id="0">
    <w:p w14:paraId="79F978DD" w14:textId="77777777" w:rsidR="002D18BF" w:rsidRDefault="002D18BF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98C5" w14:textId="77777777" w:rsidR="00B12980" w:rsidRDefault="002D18BF">
    <w:pPr>
      <w:pStyle w:val="Stopka"/>
      <w:jc w:val="right"/>
    </w:pPr>
    <w:sdt>
      <w:sdtPr>
        <w:id w:val="1652950326"/>
        <w:docPartObj>
          <w:docPartGallery w:val="Page Numbers (Bottom of Page)"/>
          <w:docPartUnique/>
        </w:docPartObj>
      </w:sdtPr>
      <w:sdtEndPr/>
      <w:sdtContent>
        <w:r w:rsidR="00B12980">
          <w:fldChar w:fldCharType="begin"/>
        </w:r>
        <w:r w:rsidR="00B12980">
          <w:instrText>PAGE   \* MERGEFORMAT</w:instrText>
        </w:r>
        <w:r w:rsidR="00B12980">
          <w:fldChar w:fldCharType="separate"/>
        </w:r>
        <w:r w:rsidR="00027A8D" w:rsidRPr="00027A8D">
          <w:rPr>
            <w:noProof/>
            <w:lang w:val="pl-PL"/>
          </w:rPr>
          <w:t>2</w:t>
        </w:r>
        <w:r w:rsidR="00B12980">
          <w:fldChar w:fldCharType="end"/>
        </w:r>
      </w:sdtContent>
    </w:sdt>
  </w:p>
  <w:p w14:paraId="4B218220" w14:textId="77777777"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4D03" w14:textId="77777777" w:rsidR="002D18BF" w:rsidRDefault="002D18BF" w:rsidP="007D1D6D">
      <w:r>
        <w:separator/>
      </w:r>
    </w:p>
  </w:footnote>
  <w:footnote w:type="continuationSeparator" w:id="0">
    <w:p w14:paraId="1E24C0CF" w14:textId="77777777" w:rsidR="002D18BF" w:rsidRDefault="002D18BF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E532" w14:textId="77777777" w:rsidR="00B12980" w:rsidRPr="00543BE5" w:rsidRDefault="00875849" w:rsidP="00FE1BD3">
    <w:pPr>
      <w:pStyle w:val="PPNTtekstdodatkowyjustowanydoprawej"/>
      <w:jc w:val="lef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0E2D770D" wp14:editId="013CD5D0">
          <wp:extent cx="4913630" cy="853440"/>
          <wp:effectExtent l="0" t="0" r="127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19C"/>
    <w:multiLevelType w:val="hybridMultilevel"/>
    <w:tmpl w:val="EC30A130"/>
    <w:lvl w:ilvl="0" w:tplc="5F84AA62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27D03"/>
    <w:multiLevelType w:val="hybridMultilevel"/>
    <w:tmpl w:val="6742CF5C"/>
    <w:lvl w:ilvl="0" w:tplc="3F84F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F8B"/>
    <w:multiLevelType w:val="multilevel"/>
    <w:tmpl w:val="FB08F918"/>
    <w:lvl w:ilvl="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9F1127"/>
    <w:multiLevelType w:val="hybridMultilevel"/>
    <w:tmpl w:val="8CB8F5EE"/>
    <w:lvl w:ilvl="0" w:tplc="4AF291D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108C"/>
    <w:multiLevelType w:val="hybridMultilevel"/>
    <w:tmpl w:val="A06494F2"/>
    <w:lvl w:ilvl="0" w:tplc="3F84F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37648D"/>
    <w:multiLevelType w:val="hybridMultilevel"/>
    <w:tmpl w:val="16CE270A"/>
    <w:lvl w:ilvl="0" w:tplc="627A578C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D6D"/>
    <w:rsid w:val="0001451E"/>
    <w:rsid w:val="000147D4"/>
    <w:rsid w:val="00023165"/>
    <w:rsid w:val="000231CE"/>
    <w:rsid w:val="00027A8D"/>
    <w:rsid w:val="000320C8"/>
    <w:rsid w:val="0003624C"/>
    <w:rsid w:val="00042F2D"/>
    <w:rsid w:val="00047A42"/>
    <w:rsid w:val="0006466B"/>
    <w:rsid w:val="000649BA"/>
    <w:rsid w:val="00090805"/>
    <w:rsid w:val="00094583"/>
    <w:rsid w:val="000A61EC"/>
    <w:rsid w:val="000C5B35"/>
    <w:rsid w:val="000D7F68"/>
    <w:rsid w:val="000E189A"/>
    <w:rsid w:val="00122D6C"/>
    <w:rsid w:val="00144C92"/>
    <w:rsid w:val="0015008B"/>
    <w:rsid w:val="0015313A"/>
    <w:rsid w:val="001614C2"/>
    <w:rsid w:val="001879A3"/>
    <w:rsid w:val="00194B0F"/>
    <w:rsid w:val="00197B25"/>
    <w:rsid w:val="001A2575"/>
    <w:rsid w:val="001A5529"/>
    <w:rsid w:val="001B2D9C"/>
    <w:rsid w:val="001B516A"/>
    <w:rsid w:val="001C24FD"/>
    <w:rsid w:val="001E71D9"/>
    <w:rsid w:val="00201E1E"/>
    <w:rsid w:val="00226D7E"/>
    <w:rsid w:val="0023557F"/>
    <w:rsid w:val="0023688E"/>
    <w:rsid w:val="00240DEC"/>
    <w:rsid w:val="002541D2"/>
    <w:rsid w:val="00264470"/>
    <w:rsid w:val="00265FEB"/>
    <w:rsid w:val="00266906"/>
    <w:rsid w:val="002A140B"/>
    <w:rsid w:val="002A1C7D"/>
    <w:rsid w:val="002B098D"/>
    <w:rsid w:val="002B6F70"/>
    <w:rsid w:val="002C60F3"/>
    <w:rsid w:val="002D18BF"/>
    <w:rsid w:val="002F6808"/>
    <w:rsid w:val="0030684C"/>
    <w:rsid w:val="00341AD7"/>
    <w:rsid w:val="00346D42"/>
    <w:rsid w:val="00347D50"/>
    <w:rsid w:val="00351077"/>
    <w:rsid w:val="00352B38"/>
    <w:rsid w:val="00356787"/>
    <w:rsid w:val="00361F49"/>
    <w:rsid w:val="003710D9"/>
    <w:rsid w:val="0037505E"/>
    <w:rsid w:val="00376ED2"/>
    <w:rsid w:val="00380633"/>
    <w:rsid w:val="003958B1"/>
    <w:rsid w:val="003A1552"/>
    <w:rsid w:val="003C5AE8"/>
    <w:rsid w:val="003D3938"/>
    <w:rsid w:val="004030EB"/>
    <w:rsid w:val="00415EA1"/>
    <w:rsid w:val="00436E97"/>
    <w:rsid w:val="00457C21"/>
    <w:rsid w:val="00464DE9"/>
    <w:rsid w:val="00471039"/>
    <w:rsid w:val="00472E1A"/>
    <w:rsid w:val="004861D7"/>
    <w:rsid w:val="004930DF"/>
    <w:rsid w:val="00495643"/>
    <w:rsid w:val="004B0541"/>
    <w:rsid w:val="004C7C76"/>
    <w:rsid w:val="004D4DD1"/>
    <w:rsid w:val="004E2A37"/>
    <w:rsid w:val="00511A66"/>
    <w:rsid w:val="00513F39"/>
    <w:rsid w:val="00520B1A"/>
    <w:rsid w:val="00520DC4"/>
    <w:rsid w:val="005306EB"/>
    <w:rsid w:val="005311EF"/>
    <w:rsid w:val="005437FA"/>
    <w:rsid w:val="00543BE5"/>
    <w:rsid w:val="00544D97"/>
    <w:rsid w:val="00556F77"/>
    <w:rsid w:val="005734D1"/>
    <w:rsid w:val="005737E4"/>
    <w:rsid w:val="005866D4"/>
    <w:rsid w:val="0059456C"/>
    <w:rsid w:val="005A6A81"/>
    <w:rsid w:val="005C00DE"/>
    <w:rsid w:val="005C3261"/>
    <w:rsid w:val="005C3772"/>
    <w:rsid w:val="005D258F"/>
    <w:rsid w:val="005D63C6"/>
    <w:rsid w:val="005F41C5"/>
    <w:rsid w:val="006155A3"/>
    <w:rsid w:val="00632642"/>
    <w:rsid w:val="0063641F"/>
    <w:rsid w:val="0064610E"/>
    <w:rsid w:val="00661B9D"/>
    <w:rsid w:val="00673F55"/>
    <w:rsid w:val="00676067"/>
    <w:rsid w:val="00687BCC"/>
    <w:rsid w:val="00693377"/>
    <w:rsid w:val="006A25CD"/>
    <w:rsid w:val="006B08E4"/>
    <w:rsid w:val="006B456F"/>
    <w:rsid w:val="006B5D68"/>
    <w:rsid w:val="006B7A03"/>
    <w:rsid w:val="006D2A32"/>
    <w:rsid w:val="006E3404"/>
    <w:rsid w:val="006F2B46"/>
    <w:rsid w:val="00707C79"/>
    <w:rsid w:val="00717E1C"/>
    <w:rsid w:val="00733593"/>
    <w:rsid w:val="00742527"/>
    <w:rsid w:val="007427B8"/>
    <w:rsid w:val="00761C2F"/>
    <w:rsid w:val="00794595"/>
    <w:rsid w:val="00797222"/>
    <w:rsid w:val="007A02CC"/>
    <w:rsid w:val="007A559B"/>
    <w:rsid w:val="007B4B7F"/>
    <w:rsid w:val="007C3E8C"/>
    <w:rsid w:val="007D1D6D"/>
    <w:rsid w:val="007D67D2"/>
    <w:rsid w:val="007E754B"/>
    <w:rsid w:val="00802B52"/>
    <w:rsid w:val="00803B5B"/>
    <w:rsid w:val="00810DAD"/>
    <w:rsid w:val="00816296"/>
    <w:rsid w:val="008275D6"/>
    <w:rsid w:val="00827F31"/>
    <w:rsid w:val="008355C1"/>
    <w:rsid w:val="00853C8B"/>
    <w:rsid w:val="0087306B"/>
    <w:rsid w:val="00875849"/>
    <w:rsid w:val="008B1614"/>
    <w:rsid w:val="008C25D7"/>
    <w:rsid w:val="008D4CE4"/>
    <w:rsid w:val="008E4128"/>
    <w:rsid w:val="008F0DE9"/>
    <w:rsid w:val="008F13F6"/>
    <w:rsid w:val="008F77C1"/>
    <w:rsid w:val="00905B1B"/>
    <w:rsid w:val="009210DF"/>
    <w:rsid w:val="009250C0"/>
    <w:rsid w:val="00932A49"/>
    <w:rsid w:val="009400D9"/>
    <w:rsid w:val="00943FC6"/>
    <w:rsid w:val="00972A55"/>
    <w:rsid w:val="009B0F54"/>
    <w:rsid w:val="009D0F91"/>
    <w:rsid w:val="009D2D56"/>
    <w:rsid w:val="009D78B0"/>
    <w:rsid w:val="009F5E84"/>
    <w:rsid w:val="009F65F0"/>
    <w:rsid w:val="00A010C0"/>
    <w:rsid w:val="00A012F5"/>
    <w:rsid w:val="00A267F9"/>
    <w:rsid w:val="00A31F34"/>
    <w:rsid w:val="00A40640"/>
    <w:rsid w:val="00A54B34"/>
    <w:rsid w:val="00A55459"/>
    <w:rsid w:val="00A55BD6"/>
    <w:rsid w:val="00A60E0C"/>
    <w:rsid w:val="00A65FCF"/>
    <w:rsid w:val="00A8307C"/>
    <w:rsid w:val="00A95B5A"/>
    <w:rsid w:val="00AA3B90"/>
    <w:rsid w:val="00AB0F9C"/>
    <w:rsid w:val="00AC6950"/>
    <w:rsid w:val="00AC7AF2"/>
    <w:rsid w:val="00AD12CF"/>
    <w:rsid w:val="00AD7FB7"/>
    <w:rsid w:val="00AE034B"/>
    <w:rsid w:val="00AE5A3F"/>
    <w:rsid w:val="00AF0541"/>
    <w:rsid w:val="00AF522F"/>
    <w:rsid w:val="00B02F32"/>
    <w:rsid w:val="00B069EF"/>
    <w:rsid w:val="00B0783B"/>
    <w:rsid w:val="00B12980"/>
    <w:rsid w:val="00B17603"/>
    <w:rsid w:val="00B22843"/>
    <w:rsid w:val="00B23BAE"/>
    <w:rsid w:val="00B34D41"/>
    <w:rsid w:val="00B439C5"/>
    <w:rsid w:val="00B60A51"/>
    <w:rsid w:val="00B66DA2"/>
    <w:rsid w:val="00B84EFE"/>
    <w:rsid w:val="00B97A18"/>
    <w:rsid w:val="00BD5807"/>
    <w:rsid w:val="00BE17A2"/>
    <w:rsid w:val="00C02823"/>
    <w:rsid w:val="00C141AC"/>
    <w:rsid w:val="00C31E27"/>
    <w:rsid w:val="00C41714"/>
    <w:rsid w:val="00C43175"/>
    <w:rsid w:val="00C5797F"/>
    <w:rsid w:val="00C70958"/>
    <w:rsid w:val="00C70DA3"/>
    <w:rsid w:val="00C73DE7"/>
    <w:rsid w:val="00C914A6"/>
    <w:rsid w:val="00CA7177"/>
    <w:rsid w:val="00CB2F5F"/>
    <w:rsid w:val="00CD2686"/>
    <w:rsid w:val="00CD5BCD"/>
    <w:rsid w:val="00CD727B"/>
    <w:rsid w:val="00D224E2"/>
    <w:rsid w:val="00D250EE"/>
    <w:rsid w:val="00D31AE4"/>
    <w:rsid w:val="00D34998"/>
    <w:rsid w:val="00D3742A"/>
    <w:rsid w:val="00D5468E"/>
    <w:rsid w:val="00D64467"/>
    <w:rsid w:val="00D6580D"/>
    <w:rsid w:val="00D92CEB"/>
    <w:rsid w:val="00DA50DE"/>
    <w:rsid w:val="00DB05B0"/>
    <w:rsid w:val="00DC49FB"/>
    <w:rsid w:val="00DC61B6"/>
    <w:rsid w:val="00DD1A89"/>
    <w:rsid w:val="00DD2D30"/>
    <w:rsid w:val="00DE2D5D"/>
    <w:rsid w:val="00DE353E"/>
    <w:rsid w:val="00DE37F4"/>
    <w:rsid w:val="00E11E40"/>
    <w:rsid w:val="00E24BA2"/>
    <w:rsid w:val="00E372C9"/>
    <w:rsid w:val="00E506A2"/>
    <w:rsid w:val="00E534FD"/>
    <w:rsid w:val="00E608DD"/>
    <w:rsid w:val="00E67167"/>
    <w:rsid w:val="00E91B18"/>
    <w:rsid w:val="00E94699"/>
    <w:rsid w:val="00E947BE"/>
    <w:rsid w:val="00E94EBF"/>
    <w:rsid w:val="00E9600F"/>
    <w:rsid w:val="00E97B2D"/>
    <w:rsid w:val="00EB0173"/>
    <w:rsid w:val="00EB7812"/>
    <w:rsid w:val="00EC127A"/>
    <w:rsid w:val="00EC16F7"/>
    <w:rsid w:val="00EC60B0"/>
    <w:rsid w:val="00ED2650"/>
    <w:rsid w:val="00EE046D"/>
    <w:rsid w:val="00F03169"/>
    <w:rsid w:val="00F15005"/>
    <w:rsid w:val="00F230A6"/>
    <w:rsid w:val="00F302CF"/>
    <w:rsid w:val="00F6018B"/>
    <w:rsid w:val="00F770DC"/>
    <w:rsid w:val="00FA4B0D"/>
    <w:rsid w:val="00FE02BD"/>
    <w:rsid w:val="00FE1BD3"/>
    <w:rsid w:val="00FE3455"/>
    <w:rsid w:val="00FE4CA4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222589"/>
  <w14:defaultImageDpi w14:val="300"/>
  <w15:docId w15:val="{76FB6C11-CEF2-477D-9837-D1FEE1D7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362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A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A6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68C3E-7DA6-42FF-9FBB-B556499B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dr Jolanta Grzenkowicz-Wydra</cp:lastModifiedBy>
  <cp:revision>15</cp:revision>
  <cp:lastPrinted>2021-05-04T08:33:00Z</cp:lastPrinted>
  <dcterms:created xsi:type="dcterms:W3CDTF">2021-05-04T07:34:00Z</dcterms:created>
  <dcterms:modified xsi:type="dcterms:W3CDTF">2021-11-10T08:44:00Z</dcterms:modified>
</cp:coreProperties>
</file>